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BREVE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ANÁLISE DA UTILIZAÇÃO DOS ANTICORPOS MONOCLONAIS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LECANEMAB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E ADUCANUMAB COMO ALTERNATIVA PARA TRATAMENTO DA DOENÇA DE ALZHEIMER 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Andressa Girelli Cardoso, Universidade Nove de Julho, (44) 99955-7693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andressa.girelli@uni9.edu.br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Caroline Chaves Bittencourt, Universidade Nove de Julho, (11)98787-3645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carolinecb@uninove.br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sz w:val="20"/>
          <w:szCs w:val="20"/>
          <w:rtl w:val="0"/>
        </w:rPr>
        <w:t xml:space="preserve">: A doença de Alzheimer (DA) </w:t>
      </w:r>
      <w:r w:rsidDel="00000000" w:rsidR="00000000" w:rsidRPr="00000000">
        <w:rPr>
          <w:sz w:val="20"/>
          <w:szCs w:val="20"/>
          <w:rtl w:val="0"/>
        </w:rPr>
        <w:t xml:space="preserve">é</w:t>
      </w:r>
      <w:r w:rsidDel="00000000" w:rsidR="00000000" w:rsidRPr="00000000">
        <w:rPr>
          <w:sz w:val="20"/>
          <w:szCs w:val="20"/>
          <w:rtl w:val="0"/>
        </w:rPr>
        <w:t xml:space="preserve"> uma doença neurodegenerativa progressiva complexa que gera </w:t>
      </w:r>
      <w:r w:rsidDel="00000000" w:rsidR="00000000" w:rsidRPr="00000000">
        <w:rPr>
          <w:sz w:val="20"/>
          <w:szCs w:val="20"/>
          <w:rtl w:val="0"/>
        </w:rPr>
        <w:t xml:space="preserve">a síndrome demencial mais prevalente no mundo</w:t>
      </w:r>
      <w:r w:rsidDel="00000000" w:rsidR="00000000" w:rsidRPr="00000000">
        <w:rPr>
          <w:sz w:val="20"/>
          <w:szCs w:val="20"/>
          <w:rtl w:val="0"/>
        </w:rPr>
        <w:t xml:space="preserve">¹. </w:t>
      </w:r>
      <w:r w:rsidDel="00000000" w:rsidR="00000000" w:rsidRPr="00000000">
        <w:rPr>
          <w:sz w:val="20"/>
          <w:szCs w:val="20"/>
          <w:rtl w:val="0"/>
        </w:rPr>
        <w:t xml:space="preserve">Caracteriza-se DA</w:t>
      </w:r>
      <w:r w:rsidDel="00000000" w:rsidR="00000000" w:rsidRPr="00000000">
        <w:rPr>
          <w:sz w:val="20"/>
          <w:szCs w:val="20"/>
          <w:rtl w:val="0"/>
        </w:rPr>
        <w:t xml:space="preserve"> pela deposição de placas beta-amilóides insolúveis no </w:t>
      </w:r>
      <w:r w:rsidDel="00000000" w:rsidR="00000000" w:rsidRPr="00000000">
        <w:rPr>
          <w:sz w:val="20"/>
          <w:szCs w:val="20"/>
          <w:rtl w:val="0"/>
        </w:rPr>
        <w:t xml:space="preserve">parênquima encefálico</w:t>
      </w:r>
      <w:r w:rsidDel="00000000" w:rsidR="00000000" w:rsidRPr="00000000">
        <w:rPr>
          <w:sz w:val="20"/>
          <w:szCs w:val="20"/>
          <w:rtl w:val="0"/>
        </w:rPr>
        <w:t xml:space="preserve">, e por emaranhados neurofibrilares (EN) ocasionados pela hiperfosforilação da proteína tau </w:t>
      </w:r>
      <w:r w:rsidDel="00000000" w:rsidR="00000000" w:rsidRPr="00000000">
        <w:rPr>
          <w:sz w:val="20"/>
          <w:szCs w:val="20"/>
          <w:rtl w:val="0"/>
        </w:rPr>
        <w:t xml:space="preserve">no interior dos neurônios</w:t>
      </w:r>
      <w:r w:rsidDel="00000000" w:rsidR="00000000" w:rsidRPr="00000000">
        <w:rPr>
          <w:sz w:val="20"/>
          <w:szCs w:val="20"/>
          <w:rtl w:val="0"/>
        </w:rPr>
        <w:t xml:space="preserve">. Supõe-se que </w:t>
      </w:r>
      <w:r w:rsidDel="00000000" w:rsidR="00000000" w:rsidRPr="00000000">
        <w:rPr>
          <w:sz w:val="20"/>
          <w:szCs w:val="20"/>
          <w:rtl w:val="0"/>
        </w:rPr>
        <w:t xml:space="preserve">os acúmulos das placas beta amilóides bem como os EN</w:t>
      </w:r>
      <w:r w:rsidDel="00000000" w:rsidR="00000000" w:rsidRPr="00000000">
        <w:rPr>
          <w:sz w:val="20"/>
          <w:szCs w:val="20"/>
          <w:rtl w:val="0"/>
        </w:rPr>
        <w:t xml:space="preserve"> geram perda neural contribuindo para perda da memória de curto prazo². Embora </w:t>
      </w:r>
      <w:r w:rsidDel="00000000" w:rsidR="00000000" w:rsidRPr="00000000">
        <w:rPr>
          <w:sz w:val="20"/>
          <w:szCs w:val="20"/>
          <w:rtl w:val="0"/>
        </w:rPr>
        <w:t xml:space="preserve">a quantidade de pessoas atingidas pela DA seja grande,</w:t>
      </w:r>
      <w:r w:rsidDel="00000000" w:rsidR="00000000" w:rsidRPr="00000000">
        <w:rPr>
          <w:sz w:val="20"/>
          <w:szCs w:val="20"/>
          <w:rtl w:val="0"/>
        </w:rPr>
        <w:t xml:space="preserve"> ainda não existe cura, apenas tratamentos que limitam </w:t>
      </w:r>
      <w:r w:rsidDel="00000000" w:rsidR="00000000" w:rsidRPr="00000000">
        <w:rPr>
          <w:sz w:val="20"/>
          <w:szCs w:val="20"/>
          <w:rtl w:val="0"/>
        </w:rPr>
        <w:t xml:space="preserve">temporariamente a piora sintomática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rtl w:val="0"/>
        </w:rPr>
        <w:t xml:space="preserve">OBJETIVO</w:t>
      </w:r>
      <w:r w:rsidDel="00000000" w:rsidR="00000000" w:rsidRPr="00000000">
        <w:rPr>
          <w:sz w:val="20"/>
          <w:szCs w:val="20"/>
          <w:rtl w:val="0"/>
        </w:rPr>
        <w:t xml:space="preserve">: O presente estudo objetiva destacar a utilização do anticorpo monoclonal lecanemab (LM) e aducanumab (AM) como alternativa de tratamento e os impactos de sua utilização. </w:t>
      </w:r>
      <w:r w:rsidDel="00000000" w:rsidR="00000000" w:rsidRPr="00000000">
        <w:rPr>
          <w:b w:val="1"/>
          <w:sz w:val="20"/>
          <w:szCs w:val="20"/>
          <w:rtl w:val="0"/>
        </w:rPr>
        <w:t xml:space="preserve">METODOLOGIA</w:t>
      </w:r>
      <w:r w:rsidDel="00000000" w:rsidR="00000000" w:rsidRPr="00000000">
        <w:rPr>
          <w:sz w:val="20"/>
          <w:szCs w:val="20"/>
          <w:rtl w:val="0"/>
        </w:rPr>
        <w:t xml:space="preserve">: Foi feita uma revisão narrativa, em que o conteúdo possui fundamentação teórica baseada em artigos da base de dados MEDLINE. Compreendeu os períodos entre </w:t>
      </w:r>
      <w:r w:rsidDel="00000000" w:rsidR="00000000" w:rsidRPr="00000000">
        <w:rPr>
          <w:sz w:val="20"/>
          <w:szCs w:val="20"/>
          <w:rtl w:val="0"/>
        </w:rPr>
        <w:t xml:space="preserve">2015-2023 </w:t>
      </w:r>
      <w:r w:rsidDel="00000000" w:rsidR="00000000" w:rsidRPr="00000000">
        <w:rPr>
          <w:sz w:val="20"/>
          <w:szCs w:val="20"/>
          <w:rtl w:val="0"/>
        </w:rPr>
        <w:t xml:space="preserve">e os descritores selecionados foram “alzheimer disease”, “lecanemab”, “alzheimer’s treatment” e “aducanumab”. Foram encontrados </w:t>
      </w: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sz w:val="20"/>
          <w:szCs w:val="20"/>
          <w:rtl w:val="0"/>
        </w:rPr>
        <w:t xml:space="preserve"> artigos e excluídos aqueles que fugiram à temática, resultando ao final </w:t>
      </w:r>
      <w:r w:rsidDel="00000000" w:rsidR="00000000" w:rsidRPr="00000000">
        <w:rPr>
          <w:sz w:val="20"/>
          <w:szCs w:val="20"/>
          <w:rtl w:val="0"/>
        </w:rPr>
        <w:t xml:space="preserve">4 </w:t>
      </w:r>
      <w:r w:rsidDel="00000000" w:rsidR="00000000" w:rsidRPr="00000000">
        <w:rPr>
          <w:sz w:val="20"/>
          <w:szCs w:val="20"/>
          <w:rtl w:val="0"/>
        </w:rPr>
        <w:t xml:space="preserve">artigos mais relevantes.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  <w:r w:rsidDel="00000000" w:rsidR="00000000" w:rsidRPr="00000000">
        <w:rPr>
          <w:sz w:val="20"/>
          <w:szCs w:val="20"/>
          <w:rtl w:val="0"/>
        </w:rPr>
        <w:t xml:space="preserve">: O uso de LM preservou mais o declínio clínico quando em doses elevadas e obteve maior redução dos níveis de A-beta. No grupo com doses menores, viu-se apenas normalização de a-beta por biomarcadores. Notou-se que quanto maior a idade do paciente e a presença de fator ApoE4 maior a redução de A-beta. A interrupção de LM resultou em reversão dos efeitos positivos, aumento da proteína tau181 e acúmulo de amilóide no cérebro, sugerindo uso contínuo³. Acerca do AM, o uso em dosagens corretas reduziu placas A-beta, diminuiu lentamente sintomatologia da DA leve, e níveis de tau no LCR, como efeitos colaterais viu-se que altas doses de aducanumab gerou edema cerebral e micro-hemorragias</w:t>
      </w:r>
      <w:r w:rsidDel="00000000" w:rsidR="00000000" w:rsidRPr="00000000">
        <w:rPr>
          <w:color w:val="4d5156"/>
          <w:sz w:val="20"/>
          <w:szCs w:val="20"/>
          <w:highlight w:val="white"/>
          <w:rtl w:val="0"/>
        </w:rPr>
        <w:t xml:space="preserve">⁴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CONCLUSÃO</w:t>
      </w:r>
      <w:r w:rsidDel="00000000" w:rsidR="00000000" w:rsidRPr="00000000">
        <w:rPr>
          <w:sz w:val="20"/>
          <w:szCs w:val="20"/>
          <w:rtl w:val="0"/>
        </w:rPr>
        <w:t xml:space="preserve">: Os medicamentos mostraram-se eficazes na redução de A-beta, mas ainda não se sabe a dose eficiente para redução do quadro clínico, os impactos de seu uso em doses elevadas e a longo prazo, assim ainda são necessários mais estudos.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“</w:t>
      </w:r>
      <w:r w:rsidDel="00000000" w:rsidR="00000000" w:rsidRPr="00000000">
        <w:rPr>
          <w:sz w:val="20"/>
          <w:szCs w:val="20"/>
          <w:rtl w:val="0"/>
        </w:rPr>
        <w:t xml:space="preserve">alzheimer disease”, “lecanemab”, “aducanumab” e “alzheimer’s treatment”.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left="0" w:firstLine="0"/>
        <w:jc w:val="both"/>
        <w:rPr>
          <w:color w:val="212121"/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REFERÊNCIAS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¹ CUMMINGS, J. L. TONG, G. BALLARD, C. Treatment Combinations for Alzheimer's Disease: Current and Future Pharmacotherapy Options. J Alzheimers Dis. 2019;67(3):779-794. doi: 10.3233/JAD-180766. PMID: 30689575; PMCID: PMC6398562. Disponível em: &lt;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https://www.ncbi.nlm.nih.gov/pmc/articles/PMC6398562/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&gt;. Acesso em: 23 de abril de 2023.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² PASSERI, E.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Et al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Alzheimer's Disease: Treatment Strategies and Their Limitations. Int J Mol Sci. 2022 Nov 12;23(22):13954. doi: 10.3390/ijms232213954. PMID: 36430432; PMCID: PMC9697769. Disponível em &lt;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https://www.ncbi.nlm.nih.gov/pmc/articles/PMC9697769/</w:t>
        </w:r>
      </w:hyperlink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 &gt;. Acesso em 23 de abril de 2023.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jc w:val="both"/>
        <w:rPr>
          <w:color w:val="212121"/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³ MCDADE, E. </w:t>
      </w:r>
      <w:r w:rsidDel="00000000" w:rsidR="00000000" w:rsidRPr="00000000">
        <w:rPr>
          <w:i w:val="1"/>
          <w:color w:val="212121"/>
          <w:sz w:val="20"/>
          <w:szCs w:val="20"/>
          <w:rtl w:val="0"/>
        </w:rPr>
        <w:t xml:space="preserve">Et al.</w:t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 Lecanemab in patients with early Alzheimer's disease: detailed results on biomarker, cognitive, and clinical effects from the randomized and open-label extension of the phase 2 proof-of-concept study. Alzheimers Res Ther. 2022 Dec 21;14(1):191. doi: 10.1186/s13195-022-01124-2. PMID: 36544184; PMCID: PMC9768996. Disponível em: &lt;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https://www.ncbi.nlm.nih.gov/pmc/articles/PMC9768996/</w:t>
        </w:r>
      </w:hyperlink>
      <w:r w:rsidDel="00000000" w:rsidR="00000000" w:rsidRPr="00000000">
        <w:rPr>
          <w:color w:val="212121"/>
          <w:sz w:val="20"/>
          <w:szCs w:val="20"/>
          <w:rtl w:val="0"/>
        </w:rPr>
        <w:t xml:space="preserve"> &gt;. Acesso em: 23 de abril de 2023. 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jc w:val="both"/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⁴ SHI, M.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Et al.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Impact o</w:t>
      </w: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f Anti-amyloid-β Monoclonal Antibodies on the Pathology and Clinical Profile of Alzheimer's Disease: A Focus on Aducanumab and Lecanemab. Front Aging Neurosci. 2022 Apr 12;14:870517. doi: 10.3389/fnagi.2022.870517. PMID: 35493943; PMCID: PMC9039457. Disponível em: &lt;</w:t>
      </w: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https://www.ncbi.nlm.nih.gov/pmc/articles/PMC9039457/</w:t>
        </w:r>
      </w:hyperlink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 &gt;. Acesso em 23 de abril de 2023. 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cbi.nlm.nih.gov/pmc/articles/PMC9039457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cbi.nlm.nih.gov/pmc/articles/PMC6398562/" TargetMode="External"/><Relationship Id="rId7" Type="http://schemas.openxmlformats.org/officeDocument/2006/relationships/hyperlink" Target="https://www.ncbi.nlm.nih.gov/pmc/articles/PMC9697769/" TargetMode="External"/><Relationship Id="rId8" Type="http://schemas.openxmlformats.org/officeDocument/2006/relationships/hyperlink" Target="https://www.ncbi.nlm.nih.gov/pmc/articles/PMC97689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